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upadłościowym i restrukturyzacyjnym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&lt;strong&gt;Zmiany w prawie upadłościowym i restrukturyzacyjnym&lt;/strong&gt;, które weszły w życie w tym roku, mają za zadanie ułatwić wierzycielom możliwości wyegzekwowania należności od dłużników poprzez likwidację prawnych możliwości unikania takiej konieczności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upadłościowym i restrukturyzacyjnym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prawie upadłościowym i restrukturyzacyjnym</w:t>
      </w:r>
      <w:r>
        <w:rPr>
          <w:rFonts w:ascii="calibri" w:hAnsi="calibri" w:eastAsia="calibri" w:cs="calibri"/>
          <w:sz w:val="24"/>
          <w:szCs w:val="24"/>
        </w:rPr>
        <w:t xml:space="preserve"> nie następują może nieustannie, niemniej warto trzymać rękę na pulsie w tym temacie. O nowych aktach prawnych z tej dziedziny nie dowiemy się z ogólnopolskich gazet czy popularnych serwisów internetowych. Zmiany takie skrzętnie odnotowywane są na blogu kancelarii Tatara, gdzie spotkamy się także z fachowym komentarzem na temat tego, co faktycznie się zmieniło.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prawie upadłościowym i restrukturyzacyjnym - od kiedy obowiązują?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ostatnie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w prawie upadłościowym i restrukturyzacyjnym</w:t>
      </w:r>
      <w:r>
        <w:rPr>
          <w:rFonts w:ascii="calibri" w:hAnsi="calibri" w:eastAsia="calibri" w:cs="calibri"/>
          <w:sz w:val="24"/>
          <w:szCs w:val="24"/>
        </w:rPr>
        <w:t xml:space="preserve"> wprowadzone zostały stosunkowo niedawno, mianowicie jeszcze w grudniu 2018 roku, a weszły w życie w lutym, zatem ledwie w zeszłym miesiącu. Zmiany te odnoszą się jednak również do postępowań, które obecnie trwają, nawet jeśli rozpoczęły się przed wprowadzeniem zmian w życie. A co właściwie się zmieniło? Data, która uznawana jest za dzień złożenia wniosku o ogłoszenie upadłości.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spowodowało wprowadzenie zmian?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było tak, że ze względu na niedoprecyzowanie tej kwestii wielu przedsiębiorców uciekało przed wierzycielami, przeciągając w nieskończoność procesy restrukturyzacyjne. Skoro nie mogły się one zakończyć, nie było prawnej możliwości postawić dany podmiot w stan upadłości, co ułatwiłoby ściągnięcie należności wierzycielom (chociażby w postaci przejęcia ruchomości).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w prawie upadłościowym i restrukturyzacyjnym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kończą z takimi praktykami.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zmiany-w-prawie-upadlosciowym-i-restrukturyzacyj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2026-02-03T19:13:18+01:00</dcterms:created>
  <dcterms:modified xsi:type="dcterms:W3CDTF">2026-02-03T19:13:18+01:00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