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Klauzula Pari Passu - czy wiesz o co w niej chodzi?</w:t>
      </w:r>
    </w:p>
    <w:p>
      <w:pPr>
        <w:spacing w:before="0" w:after="500" w:line="264" w:lineRule="auto"/>
      </w:pPr>
      <w:r>
        <w:rPr>
          <w:rFonts w:ascii="calibri" w:hAnsi="calibri" w:eastAsia="calibri" w:cs="calibri"/>
          <w:sz w:val="36"/>
          <w:szCs w:val="36"/>
          <w:b/>
        </w:rPr>
        <w:t xml:space="preserve">Jeśli nie wiesz czym jest &lt;strong&gt;klauzula Pari Passu&lt;/strong&gt; to sprawdź koniecznie ten wpis. Zamieszczamy w nim wartościowe informacje, które pozwolą Ci zrozumieć istotę tego sformułowania. Przedstawiamy także jego przykładowe użycie, które z pewnością rozjaśni Ci czego dotyczy Pari Passu. Zapraszamy do lektury!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Czym jest klauzula Pari Passu?</w:t>
      </w:r>
    </w:p>
    <w:p>
      <w:pPr>
        <w:spacing w:before="0" w:after="300"/>
      </w:pPr>
      <w:r>
        <w:rPr>
          <w:rFonts w:ascii="calibri" w:hAnsi="calibri" w:eastAsia="calibri" w:cs="calibri"/>
          <w:sz w:val="24"/>
          <w:szCs w:val="24"/>
        </w:rPr>
        <w:t xml:space="preserve">Pari passu to łacińskie wyrażenie, które w wolnym tłumaczeniu oznacza "na równych prawach". Etymologia tego pojęcia jest następująca: pari oznacza "równy" a passu "krok". Z terminem tym spotkać się można powszechnie w prawie.</w:t>
      </w:r>
    </w:p>
    <w:p>
      <w:pPr>
        <w:spacing w:before="0" w:after="500" w:line="264" w:lineRule="auto"/>
      </w:pPr>
      <w:r>
        <w:rPr>
          <w:rFonts w:ascii="calibri" w:hAnsi="calibri" w:eastAsia="calibri" w:cs="calibri"/>
          <w:sz w:val="36"/>
          <w:szCs w:val="36"/>
          <w:b/>
        </w:rPr>
        <w:t xml:space="preserve">Czego dotyczy Pari Passu?</w:t>
      </w:r>
    </w:p>
    <w:p>
      <w:pPr>
        <w:spacing w:before="0" w:after="300"/>
      </w:pPr>
      <w:r>
        <w:rPr>
          <w:rFonts w:ascii="calibri" w:hAnsi="calibri" w:eastAsia="calibri" w:cs="calibri"/>
          <w:sz w:val="24"/>
          <w:szCs w:val="24"/>
          <w:i/>
          <w:iCs/>
        </w:rPr>
        <w:t xml:space="preserve">Klauzula Pari Passu</w:t>
      </w:r>
      <w:r>
        <w:rPr>
          <w:rFonts w:ascii="calibri" w:hAnsi="calibri" w:eastAsia="calibri" w:cs="calibri"/>
          <w:sz w:val="24"/>
          <w:szCs w:val="24"/>
        </w:rPr>
        <w:t xml:space="preserve"> dotyczy takiego ustrukturyzowania transakcji lub pozycji wierzycieli, że są oni równorzędni - np. w ramach danych kategorii zaspokojenia w trakcie postępowania upadłościowego. Fragment, w którym opisywany jest system prawa dotyczący niewypłacalności może służyć za doskonałe użycie tego sformułowania. Jest on związany z tym, że w porządku prawny, który obowiązuje w naszym kraju zdarzają się ustrukturyzowanie transakcji nowego finansowania, w którym może się zdarzyć, że korzysta się z opcji super senior, a czasem sytuacja jest odwrotna - w takim wypadku wykorzystywane jest Pari-Passu i nie ma mowy o uprzywilejowaniu której kolwiek z grup.</w:t>
      </w:r>
    </w:p>
    <w:p>
      <w:pPr>
        <w:spacing w:before="0" w:after="500" w:line="264" w:lineRule="auto"/>
      </w:pPr>
      <w:r>
        <w:rPr>
          <w:rFonts w:ascii="calibri" w:hAnsi="calibri" w:eastAsia="calibri" w:cs="calibri"/>
          <w:sz w:val="36"/>
          <w:szCs w:val="36"/>
          <w:b/>
        </w:rPr>
        <w:t xml:space="preserve">Co jeszcze warto wiedzieć na temat Pari Passu?</w:t>
      </w:r>
    </w:p>
    <w:p>
      <w:pPr>
        <w:spacing w:before="0" w:after="300"/>
      </w:pPr>
      <w:r>
        <w:rPr>
          <w:rFonts w:ascii="calibri" w:hAnsi="calibri" w:eastAsia="calibri" w:cs="calibri"/>
          <w:sz w:val="24"/>
          <w:szCs w:val="24"/>
        </w:rPr>
        <w:t xml:space="preserve">Termin jakim jest </w:t>
      </w:r>
      <w:hyperlink r:id="rId7" w:history="1">
        <w:r>
          <w:rPr>
            <w:rFonts w:ascii="calibri" w:hAnsi="calibri" w:eastAsia="calibri" w:cs="calibri"/>
            <w:color w:val="0000FF"/>
            <w:sz w:val="24"/>
            <w:szCs w:val="24"/>
            <w:u w:val="single"/>
          </w:rPr>
          <w:t xml:space="preserve">klauzula Pari Passu</w:t>
        </w:r>
      </w:hyperlink>
      <w:r>
        <w:rPr>
          <w:rFonts w:ascii="calibri" w:hAnsi="calibri" w:eastAsia="calibri" w:cs="calibri"/>
          <w:sz w:val="24"/>
          <w:szCs w:val="24"/>
        </w:rPr>
        <w:t xml:space="preserve"> jest często stosowany także w obszarze udzielania pożyczek oraz postępowań upadłościowych, gdzie mówi się, że wierzyciele są spłacani proporcjonalnie do kwoty wierzytelności jaką posiadają. Oznacza to mniej więcej tyle, że wierzyciele są spłacani na zasadzie równorzędności.</w:t>
      </w:r>
    </w:p>
    <w:p>
      <w:pPr>
        <w:spacing w:before="0" w:after="500" w:line="264" w:lineRule="auto"/>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tatara.com.pl/pari-passu-definicja-slowniczek-zargonu-restrukturyzacyjnego-283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2026-05-19T13:56:01+02:00</dcterms:created>
  <dcterms:modified xsi:type="dcterms:W3CDTF">2026-05-19T13:56:01+02:00</dcterms:modified>
</cp:coreProperties>
</file>

<file path=docProps/custom.xml><?xml version="1.0" encoding="utf-8"?>
<Properties xmlns="http://schemas.openxmlformats.org/officeDocument/2006/custom-properties" xmlns:vt="http://schemas.openxmlformats.org/officeDocument/2006/docPropsVTypes"/>
</file>